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Month-end close checklist: [Client name]</w:t>
      </w:r>
    </w:p>
    <w:p>
      <w:r>
        <w:rPr>
          <w:i/>
        </w:rPr>
        <w:t xml:space="preserve">From The Firm (thefirm.media/templates/month-end-close-checklist). Updated 27 September 2026. Replace everything in [square brackets].</w:t>
      </w:r>
    </w:p>
    <w:p>
      <w:pPr>
        <w:pStyle w:val="Heading1"/>
      </w:pPr>
      <w:r>
        <w:t xml:space="preserve">Close details</w:t>
      </w:r>
    </w:p>
    <w:tbl>
      <w:tblPr>
        <w:tblStyle w:val="TableGrid"/>
        <w:tblW w:w="5000" w:type="pct"/>
      </w:tblPr>
      <w:tblGrid>
        <w:gridCol w:w="4500"/>
        <w:gridCol w:w="4500"/>
      </w:tblGrid>
      <w:tr>
        <w:trPr>
          <w:tblHeader/>
        </w:trPr>
        <w:tc>
          <w:tcPr>
            <w:tcW w:w="450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4500" w:type="dxa"/>
          </w:tcPr>
          <w:p>
            <w:r>
              <w:rPr>
                <w:b/>
              </w:rPr>
              <w:t xml:space="preserve">Detail</w:t>
            </w:r>
          </w:p>
        </w:tc>
      </w:tr>
      <w:tr>
        <w:tc>
          <w:tcPr>
            <w:tcW w:w="4500" w:type="dxa"/>
          </w:tcPr>
          <w:p>
            <w:r>
              <w:t xml:space="preserve">Client</w:t>
            </w:r>
          </w:p>
        </w:tc>
        <w:tc>
          <w:tcPr>
            <w:tcW w:w="4500" w:type="dxa"/>
          </w:tcPr>
          <w:p>
            <w:r>
              <w:t xml:space="preserve">[Client name]</w:t>
            </w:r>
          </w:p>
        </w:tc>
      </w:tr>
      <w:tr>
        <w:tc>
          <w:tcPr>
            <w:tcW w:w="4500" w:type="dxa"/>
          </w:tcPr>
          <w:p>
            <w:r>
              <w:t xml:space="preserve">Period</w:t>
            </w:r>
          </w:p>
        </w:tc>
        <w:tc>
          <w:tcPr>
            <w:tcW w:w="4500" w:type="dxa"/>
          </w:tcPr>
          <w:p>
            <w:r>
              <w:t xml:space="preserve">[Month and year]</w:t>
            </w:r>
          </w:p>
        </w:tc>
      </w:tr>
      <w:tr>
        <w:tc>
          <w:tcPr>
            <w:tcW w:w="4500" w:type="dxa"/>
          </w:tcPr>
          <w:p>
            <w:r>
              <w:t xml:space="preserve">Prepared by</w:t>
            </w:r>
          </w:p>
        </w:tc>
        <w:tc>
          <w:tcPr>
            <w:tcW w:w="4500" w:type="dxa"/>
          </w:tcPr>
          <w:p>
            <w:r>
              <w:t xml:space="preserve">[Name]</w:t>
            </w:r>
          </w:p>
        </w:tc>
      </w:tr>
      <w:tr>
        <w:tc>
          <w:tcPr>
            <w:tcW w:w="4500" w:type="dxa"/>
          </w:tcPr>
          <w:p>
            <w:r>
              <w:t xml:space="preserve">Reviewed by</w:t>
            </w:r>
          </w:p>
        </w:tc>
        <w:tc>
          <w:tcPr>
            <w:tcW w:w="4500" w:type="dxa"/>
          </w:tcPr>
          <w:p>
            <w:r>
              <w:t xml:space="preserve">[Name, not the preparer]</w:t>
            </w:r>
          </w:p>
        </w:tc>
      </w:tr>
      <w:tr>
        <w:tc>
          <w:tcPr>
            <w:tcW w:w="4500" w:type="dxa"/>
          </w:tcPr>
          <w:p>
            <w:r>
              <w:t xml:space="preserve">Close deadline</w:t>
            </w:r>
          </w:p>
        </w:tc>
        <w:tc>
          <w:tcPr>
            <w:tcW w:w="4500" w:type="dxa"/>
          </w:tcPr>
          <w:p>
            <w:r>
              <w:t xml:space="preserve">[Date, e.g. fifth working day]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Before month-end</w:t>
      </w:r>
    </w:p>
    <w:p>
      <w:pPr>
        <w:ind w:left="360" w:hanging="360"/>
      </w:pPr>
      <w:r>
        <w:t xml:space="preserve">☐	Close dates agreed with the client: when statements, payroll and supplier bills will be in.</w:t>
      </w:r>
    </w:p>
    <w:p>
      <w:pPr>
        <w:ind w:left="360" w:hanging="360"/>
      </w:pPr>
      <w:r>
        <w:t xml:space="preserve">☐	Document request sent: bills, receipts, sales not yet invoiced, new loans or finance, asset purchases.</w:t>
      </w:r>
    </w:p>
    <w:p>
      <w:pPr>
        <w:ind w:left="360" w:hanging="360"/>
      </w:pPr>
      <w:r>
        <w:t xml:space="preserve">☐	Every bank feed connected and current, including credit cards, loans and payment platforms.</w:t>
      </w:r>
    </w:p>
    <w:p>
      <w:pPr>
        <w:ind w:left="360" w:hanging="360"/>
      </w:pPr>
      <w:r>
        <w:t xml:space="preserve">☐	Prior month locked.</w:t>
      </w:r>
    </w:p>
    <w:p>
      <w:pPr>
        <w:pStyle w:val="Heading1"/>
      </w:pPr>
      <w:r>
        <w:t xml:space="preserve">Days 1 to 2: cash</w:t>
      </w:r>
    </w:p>
    <w:p>
      <w:pPr>
        <w:ind w:left="360" w:hanging="360"/>
      </w:pPr>
      <w:r>
        <w:t xml:space="preserve">☐	Every bank, credit card and loan account reconciled to the statement closing balance, not just the feed.</w:t>
      </w:r>
    </w:p>
    <w:p>
      <w:pPr>
        <w:ind w:left="360" w:hanging="360"/>
      </w:pPr>
      <w:r>
        <w:t xml:space="preserve">☐	Unreconciled items older than 30 days cleared or explained.</w:t>
      </w:r>
    </w:p>
    <w:p>
      <w:pPr>
        <w:ind w:left="360" w:hanging="360"/>
      </w:pPr>
      <w:r>
        <w:t xml:space="preserve">☐	Payment platform clearing accounts reconciled: gross sales, fees, refunds and payouts.</w:t>
      </w:r>
    </w:p>
    <w:p>
      <w:pPr>
        <w:ind w:left="360" w:hanging="360"/>
      </w:pPr>
      <w:r>
        <w:t xml:space="preserve">☐	Transfers between accounts matched on both sides.</w:t>
      </w:r>
    </w:p>
    <w:p>
      <w:pPr>
        <w:ind w:left="360" w:hanging="360"/>
      </w:pPr>
      <w:r>
        <w:t xml:space="preserve">☐	Unknown transactions coded, or sent to the client as one question list, not ten emails.</w:t>
      </w:r>
    </w:p>
    <w:p>
      <w:pPr>
        <w:ind w:left="360" w:hanging="360"/>
      </w:pPr>
      <w:r>
        <w:t xml:space="preserve">☐	Cash takings and petty cash counted and recorded, if the business handles cash.</w:t>
      </w:r>
    </w:p>
    <w:p>
      <w:pPr>
        <w:pStyle w:val="Heading1"/>
      </w:pPr>
      <w:r>
        <w:t xml:space="preserve">Days 2 to 3: sales and receivables</w:t>
      </w:r>
    </w:p>
    <w:p>
      <w:pPr>
        <w:ind w:left="360" w:hanging="360"/>
      </w:pPr>
      <w:r>
        <w:t xml:space="preserve">☐	Every sale for the month invoiced; client asked about work done but not yet billed.</w:t>
      </w:r>
    </w:p>
    <w:p>
      <w:pPr>
        <w:ind w:left="360" w:hanging="360"/>
      </w:pPr>
      <w:r>
        <w:t xml:space="preserve">☐	Customer payments applied to invoices; no unallocated receipts left.</w:t>
      </w:r>
    </w:p>
    <w:p>
      <w:pPr>
        <w:ind w:left="360" w:hanging="360"/>
      </w:pPr>
      <w:r>
        <w:t xml:space="preserve">☐	Credit notes and refunds recorded.</w:t>
      </w:r>
    </w:p>
    <w:p>
      <w:pPr>
        <w:ind w:left="360" w:hanging="360"/>
      </w:pPr>
      <w:r>
        <w:t xml:space="preserve">☐	Aged receivables reviewed: chase list sent to the client, doubtful debts flagged for the accountant.</w:t>
      </w:r>
    </w:p>
    <w:p>
      <w:pPr>
        <w:pStyle w:val="Heading1"/>
      </w:pPr>
      <w:r>
        <w:t xml:space="preserve">Days 2 to 3: purchases and payables</w:t>
      </w:r>
    </w:p>
    <w:p>
      <w:pPr>
        <w:ind w:left="360" w:hanging="360"/>
      </w:pPr>
      <w:r>
        <w:t xml:space="preserve">☐	Every supplier bill for the month entered, including late arrivals.</w:t>
      </w:r>
    </w:p>
    <w:p>
      <w:pPr>
        <w:ind w:left="360" w:hanging="360"/>
      </w:pPr>
      <w:r>
        <w:t xml:space="preserve">☐	Statements from the main suppliers matched to the payables ledger.</w:t>
      </w:r>
    </w:p>
    <w:p>
      <w:pPr>
        <w:ind w:left="360" w:hanging="360"/>
      </w:pPr>
      <w:r>
        <w:t xml:space="preserve">☐	Aged payables reviewed for duplicates and bills paid but still showing open.</w:t>
      </w:r>
    </w:p>
    <w:p>
      <w:pPr>
        <w:ind w:left="360" w:hanging="360"/>
      </w:pPr>
      <w:r>
        <w:t xml:space="preserve">☐	Recurring bills and subscriptions checked: still needed, still the right amount.</w:t>
      </w:r>
    </w:p>
    <w:p>
      <w:pPr>
        <w:pStyle w:val="Heading1"/>
      </w:pPr>
      <w:r>
        <w:t xml:space="preserve">Day 3: payroll and employee liabilities</w:t>
      </w:r>
    </w:p>
    <w:p>
      <w:pPr>
        <w:ind w:left="360" w:hanging="360"/>
      </w:pPr>
      <w:r>
        <w:t xml:space="preserve">☐	Payroll posted for every pay run in the month.</w:t>
      </w:r>
    </w:p>
    <w:p>
      <w:pPr>
        <w:ind w:left="360" w:hanging="360"/>
      </w:pPr>
      <w:r>
        <w:t xml:space="preserve">☐	Payroll liability accounts (tax withheld, superannuation or pension, other deductions) reconciled to the payroll reports.</w:t>
      </w:r>
    </w:p>
    <w:p>
      <w:pPr>
        <w:ind w:left="360" w:hanging="360"/>
      </w:pPr>
      <w:r>
        <w:t xml:space="preserve">☐	Payroll reporting done for each pay run: Single Touch Payroll in Australia, RTI in the UK, and in the US federal and state payroll tax deposits made on schedule.</w:t>
      </w:r>
    </w:p>
    <w:p>
      <w:pPr>
        <w:ind w:left="360" w:hanging="360"/>
      </w:pPr>
      <w:r>
        <w:t xml:space="preserve">☐	Superannuation, pension or retirement contributions paid by their due date.</w:t>
      </w:r>
    </w:p>
    <w:p>
      <w:pPr>
        <w:ind w:left="360" w:hanging="360"/>
      </w:pPr>
      <w:r>
        <w:t xml:space="preserve">☐	Leave balances and accruals updated, if the client reports them monthly.</w:t>
      </w:r>
    </w:p>
    <w:p>
      <w:pPr>
        <w:pStyle w:val="Heading1"/>
      </w:pPr>
      <w:r>
        <w:t xml:space="preserve">Days 3 to 4: GST, VAT and sales tax</w:t>
      </w:r>
    </w:p>
    <w:p>
      <w:pPr>
        <w:ind w:left="360" w:hanging="360"/>
      </w:pPr>
      <w:r>
        <w:t xml:space="preserve">☐	Tax codes spot-checked on the month's largest transactions and on anything coded tax-free or out of scope.</w:t>
      </w:r>
    </w:p>
    <w:p>
      <w:pPr>
        <w:ind w:left="360" w:hanging="360"/>
      </w:pPr>
      <w:r>
        <w:t xml:space="preserve">☐	GST, VAT or sales tax control account reconciled to the tax report.</w:t>
      </w:r>
    </w:p>
    <w:p>
      <w:pPr>
        <w:ind w:left="360" w:hanging="360"/>
      </w:pPr>
      <w:r>
        <w:t xml:space="preserve">☐	Imports, reverse-charge and private-use items treated correctly.</w:t>
      </w:r>
    </w:p>
    <w:p>
      <w:pPr>
        <w:ind w:left="360" w:hanging="360"/>
      </w:pPr>
      <w:r>
        <w:t xml:space="preserve">☐	Upcoming deadlines noted: BAS in Australia, VAT return in the UK, sales tax returns in each US state where the client is registered.</w:t>
      </w:r>
    </w:p>
    <w:p>
      <w:pPr>
        <w:pStyle w:val="Heading1"/>
      </w:pPr>
      <w:r>
        <w:t xml:space="preserve">Day 4: adjustments</w:t>
      </w:r>
    </w:p>
    <w:p>
      <w:pPr>
        <w:ind w:left="360" w:hanging="360"/>
      </w:pPr>
      <w:r>
        <w:t xml:space="preserve">☐	Accruals posted for costs incurred but not yet billed (utilities, contractors, interest).</w:t>
      </w:r>
    </w:p>
    <w:p>
      <w:pPr>
        <w:ind w:left="360" w:hanging="360"/>
      </w:pPr>
      <w:r>
        <w:t xml:space="preserve">☐	Prepayments released for the month (insurance, annual software, rent in advance).</w:t>
      </w:r>
    </w:p>
    <w:p>
      <w:pPr>
        <w:ind w:left="360" w:hanging="360"/>
      </w:pPr>
      <w:r>
        <w:t xml:space="preserve">☐	Income billed in advance deferred and released as it is earned.</w:t>
      </w:r>
    </w:p>
    <w:p>
      <w:pPr>
        <w:ind w:left="360" w:hanging="360"/>
      </w:pPr>
      <w:r>
        <w:t xml:space="preserve">☐	Depreciation posted; new assets added to the register and disposals recorded.</w:t>
      </w:r>
    </w:p>
    <w:p>
      <w:pPr>
        <w:ind w:left="360" w:hanging="360"/>
      </w:pPr>
      <w:r>
        <w:t xml:space="preserve">☐	Loan accounts reconciled to lender statements, with interest and principal split.</w:t>
      </w:r>
    </w:p>
    <w:p>
      <w:pPr>
        <w:ind w:left="360" w:hanging="360"/>
      </w:pPr>
      <w:r>
        <w:t xml:space="preserve">☐	Stock adjusted to the count or system value, if the client holds stock.</w:t>
      </w:r>
    </w:p>
    <w:p>
      <w:pPr>
        <w:ind w:left="360" w:hanging="360"/>
      </w:pPr>
      <w:r>
        <w:t xml:space="preserve">☐	Owners' or directors' loan and drawings accounts reviewed.</w:t>
      </w:r>
    </w:p>
    <w:p>
      <w:pPr>
        <w:pStyle w:val="Heading1"/>
      </w:pPr>
      <w:r>
        <w:t xml:space="preserve">Day 5: review, lock and report</w:t>
      </w:r>
    </w:p>
    <w:p>
      <w:pPr>
        <w:ind w:left="360" w:hanging="360"/>
      </w:pPr>
      <w:r>
        <w:t xml:space="preserve">☐	Every balance sheet account supported by a reconciliation or a schedule.</w:t>
      </w:r>
    </w:p>
    <w:p>
      <w:pPr>
        <w:ind w:left="360" w:hanging="360"/>
      </w:pPr>
      <w:r>
        <w:t xml:space="preserve">☐	Suspense and clearing accounts at zero, or explained in the notes.</w:t>
      </w:r>
    </w:p>
    <w:p>
      <w:pPr>
        <w:ind w:left="360" w:hanging="360"/>
      </w:pPr>
      <w:r>
        <w:t xml:space="preserve">☐	Profit and loss compared with last month and the same month last year; large movements explained.</w:t>
      </w:r>
    </w:p>
    <w:p>
      <w:pPr>
        <w:ind w:left="360" w:hanging="360"/>
      </w:pPr>
      <w:r>
        <w:t xml:space="preserve">☐	Reviewer (not the preparer) has checked and signed off.</w:t>
      </w:r>
    </w:p>
    <w:p>
      <w:pPr>
        <w:ind w:left="360" w:hanging="360"/>
      </w:pPr>
      <w:r>
        <w:t xml:space="preserve">☐	Period locked in the ledger (Xero calls it a lock date; QuickBooks Online calls it closing the books).</w:t>
      </w:r>
    </w:p>
    <w:p>
      <w:pPr>
        <w:ind w:left="360" w:hanging="360"/>
      </w:pPr>
      <w:r>
        <w:t xml:space="preserve">☐	Reports sent to the client with three lines on what changed and what needs their decision.</w:t>
      </w:r>
    </w:p>
    <w:p>
      <w:pPr>
        <w:ind w:left="360" w:hanging="360"/>
      </w:pPr>
      <w:r>
        <w:t xml:space="preserve">☐	Question list, working papers and this checklist saved to the client file.</w:t>
      </w:r>
    </w:p>
    <w:p>
      <w:pPr>
        <w:pStyle w:val="Heading1"/>
      </w:pPr>
      <w:r>
        <w:t xml:space="preserve">Notes and sign-off</w:t>
      </w:r>
    </w:p>
    <w:tbl>
      <w:tblPr>
        <w:tblStyle w:val="TableGrid"/>
        <w:tblW w:w="5000" w:type="pct"/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w="3000" w:type="dxa"/>
          </w:tcPr>
          <w:p>
            <w:r>
              <w:rPr>
                <w:b/>
              </w:rPr>
              <w:t xml:space="preserve">Open item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Waiting on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Due</w:t>
            </w:r>
          </w:p>
        </w:tc>
      </w:tr>
      <w:tr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</w:tr>
      <w:tr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</w:tr>
      <w:tr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tbl>
      <w:tblPr>
        <w:tblStyle w:val="TableGrid"/>
        <w:tblW w:w="5000" w:type="pct"/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w="3000" w:type="dxa"/>
          </w:tcPr>
          <w:p>
            <w:r>
              <w:rPr>
                <w:b/>
              </w:rPr>
              <w:t xml:space="preserve">Role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3000" w:type="dxa"/>
          </w:tcPr>
          <w:p>
            <w:r>
              <w:t xml:space="preserve">Prepared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</w:tr>
      <w:tr>
        <w:tc>
          <w:tcPr>
            <w:tcW w:w="3000" w:type="dxa"/>
          </w:tcPr>
          <w:p>
            <w:r>
              <w:t xml:space="preserve">Reviewed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  <w:tc>
          <w:tcPr>
            <w:tcW w:w="30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n-A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sz w:val="28"/>
      <w:szCs w:val="28"/>
    </w:rPr>
  </w:style>
  <w:style w:type="paragraph" w:styleId="Quote">
    <w:name w:val="Quote"/>
    <w:basedOn w:val="Normal"/>
    <w:next w:val="Normal"/>
    <w:qFormat/>
    <w:pPr>
      <w:ind w:left="567" w:right="567"/>
      <w:pBdr>
        <w:left w:val="single" w:sz="18" w:space="8" w:color="auto"/>
      </w:pBdr>
    </w:pPr>
    <w:rPr>
      <w:i/>
    </w:rPr>
  </w:style>
  <w:style w:type="table" w:styleId="TableGrid">
    <w:name w:val="Table Gri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Month-end close checklist for bookkeepers and accounting firms</dc:title>
  <dc:creator>The Firm</dc:creator>
  <dcterms:created xsi:type="dcterms:W3CDTF">2026-09-27T00:00:00Z</dcterms:created>
  <dcterms:modified xsi:type="dcterms:W3CDTF">2026-09-27T00:00:00Z</dcterms:modified>
</cp:coreProperties>
</file>